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A" w:rsidRDefault="002C04CA" w:rsidP="002C04CA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</w:t>
      </w:r>
      <w:r w:rsidR="00D8200B">
        <w:rPr>
          <w:b/>
          <w:sz w:val="32"/>
          <w:szCs w:val="32"/>
        </w:rPr>
        <w:t xml:space="preserve"> </w:t>
      </w:r>
      <w:r w:rsidR="00870CFA">
        <w:rPr>
          <w:b/>
          <w:sz w:val="32"/>
          <w:szCs w:val="32"/>
        </w:rPr>
        <w:t>4.17</w:t>
      </w:r>
      <w:r w:rsidR="006350E3">
        <w:rPr>
          <w:b/>
          <w:sz w:val="32"/>
          <w:szCs w:val="32"/>
        </w:rPr>
        <w:t>D</w:t>
      </w:r>
    </w:p>
    <w:p w:rsidR="002C04CA" w:rsidRPr="00C8497B" w:rsidRDefault="002C04CA" w:rsidP="002C04CA">
      <w:pPr>
        <w:pStyle w:val="Akapitzlist"/>
        <w:jc w:val="center"/>
        <w:rPr>
          <w:b/>
          <w:sz w:val="32"/>
          <w:szCs w:val="32"/>
        </w:rPr>
      </w:pPr>
    </w:p>
    <w:p w:rsidR="004B420D" w:rsidRPr="00752CE5" w:rsidRDefault="004B420D" w:rsidP="004B420D">
      <w:pPr>
        <w:pStyle w:val="Akapitzlist"/>
        <w:jc w:val="center"/>
        <w:rPr>
          <w:b/>
          <w:color w:val="FF0000"/>
          <w:sz w:val="32"/>
          <w:szCs w:val="32"/>
        </w:rPr>
      </w:pPr>
    </w:p>
    <w:p w:rsidR="007E4C93" w:rsidRDefault="007E4C93" w:rsidP="004B420D">
      <w:pPr>
        <w:pStyle w:val="Akapitzlist"/>
        <w:numPr>
          <w:ilvl w:val="0"/>
          <w:numId w:val="33"/>
        </w:numPr>
      </w:pPr>
      <w:r>
        <w:t xml:space="preserve">W systemie udostępniono możliwość przeliczenia pożyczki po spłacie całej pożyczki. </w:t>
      </w:r>
    </w:p>
    <w:p w:rsidR="007E4C93" w:rsidRDefault="007E4C93" w:rsidP="007E4C93">
      <w:pPr>
        <w:pStyle w:val="Akapitzlist"/>
        <w:ind w:left="502"/>
      </w:pPr>
      <w:r>
        <w:t xml:space="preserve">Opcja jest dostępna w opcji „Umowy info -&gt; Prawy </w:t>
      </w:r>
      <w:proofErr w:type="gramStart"/>
      <w:r>
        <w:t>klawisz</w:t>
      </w:r>
      <w:proofErr w:type="gramEnd"/>
      <w:r>
        <w:t xml:space="preserve"> myszki”.</w:t>
      </w:r>
    </w:p>
    <w:p w:rsidR="007E4C93" w:rsidRDefault="007E4C93" w:rsidP="007E4C93">
      <w:pPr>
        <w:pStyle w:val="Akapitzlist"/>
        <w:ind w:left="502"/>
      </w:pPr>
    </w:p>
    <w:p w:rsidR="007E4C93" w:rsidRDefault="007E4C93" w:rsidP="007E4C93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39115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93" w:rsidRDefault="007E4C93" w:rsidP="007E4C93"/>
    <w:p w:rsidR="007E4C93" w:rsidRPr="00967AEA" w:rsidRDefault="007E4C93" w:rsidP="007E4C93">
      <w:pPr>
        <w:rPr>
          <w:b/>
        </w:rPr>
      </w:pPr>
      <w:r>
        <w:t xml:space="preserve">    </w:t>
      </w:r>
      <w:r w:rsidRPr="00967AEA">
        <w:rPr>
          <w:b/>
        </w:rPr>
        <w:t xml:space="preserve">Opcja metoda 360/360 Excel (terminarz sztywny) </w:t>
      </w:r>
    </w:p>
    <w:p w:rsidR="007E4C93" w:rsidRDefault="007E4C93" w:rsidP="007E4C93">
      <w:r>
        <w:t xml:space="preserve">Wylicza </w:t>
      </w:r>
      <w:proofErr w:type="gramStart"/>
      <w:r>
        <w:t>odsetki jakie</w:t>
      </w:r>
      <w:proofErr w:type="gramEnd"/>
      <w:r>
        <w:t xml:space="preserve"> powinny być naliczone dla umowy obsługiwane według terminarza sztywnego metodą 360/360. Metoda posługuje się zmodyfikowanym algorytmem EXCEL do wyliczenia ilości dni przypadającymi między spłatami.</w:t>
      </w:r>
    </w:p>
    <w:p w:rsidR="007E4C93" w:rsidRDefault="007E4C93" w:rsidP="007E4C93">
      <w:pPr>
        <w:pStyle w:val="Akapitzlist"/>
        <w:numPr>
          <w:ilvl w:val="0"/>
          <w:numId w:val="36"/>
        </w:numPr>
      </w:pPr>
      <w:r>
        <w:t>Nie są liczone dni 31 w danym miesiącu</w:t>
      </w:r>
    </w:p>
    <w:p w:rsidR="007E4C93" w:rsidRDefault="007E4C93" w:rsidP="007E4C93">
      <w:pPr>
        <w:pStyle w:val="Akapitzlist"/>
        <w:numPr>
          <w:ilvl w:val="0"/>
          <w:numId w:val="36"/>
        </w:numPr>
      </w:pPr>
      <w:r>
        <w:t>28 lub 29 luty uzupełniany jest do 30 poprzez dodanie</w:t>
      </w:r>
      <w:r w:rsidR="00291520">
        <w:t xml:space="preserve"> odpowiednio 2 lub</w:t>
      </w:r>
      <w:r>
        <w:t xml:space="preserve"> 1 dnia</w:t>
      </w:r>
    </w:p>
    <w:p w:rsidR="007E4C93" w:rsidRDefault="007E4C93" w:rsidP="007E4C93">
      <w:r>
        <w:t>Dzięki zastosowaniu takich zmian każdy miesiąc ma równo 30 dni.</w:t>
      </w:r>
    </w:p>
    <w:p w:rsidR="00967AEA" w:rsidRDefault="00967AEA" w:rsidP="007E4C93">
      <w:r>
        <w:t>Odsetki wyliczane są ze wzoru odsetki=Kapitał*ilość dni*oprocentowanie/360</w:t>
      </w:r>
    </w:p>
    <w:p w:rsidR="00967AEA" w:rsidRDefault="00967AEA" w:rsidP="007E4C93">
      <w:r>
        <w:t>Opcja tworzy tylko raport zawierający ewentualne różnice w wyliczaniu odsetek wynikające z wcześniejszej spłaty.</w:t>
      </w:r>
    </w:p>
    <w:p w:rsidR="007E4C93" w:rsidRDefault="007E4C93" w:rsidP="007E4C93"/>
    <w:p w:rsidR="00291520" w:rsidRPr="00291520" w:rsidRDefault="00291520" w:rsidP="007E4C93">
      <w:pPr>
        <w:rPr>
          <w:b/>
        </w:rPr>
      </w:pPr>
      <w:r>
        <w:t xml:space="preserve">Opcja </w:t>
      </w:r>
      <w:r w:rsidRPr="00291520">
        <w:rPr>
          <w:b/>
        </w:rPr>
        <w:t>„P</w:t>
      </w:r>
      <w:r w:rsidR="007E4C93" w:rsidRPr="00291520">
        <w:rPr>
          <w:b/>
        </w:rPr>
        <w:t>o zmianie stopy procentowej</w:t>
      </w:r>
      <w:r w:rsidRPr="00291520">
        <w:rPr>
          <w:b/>
        </w:rPr>
        <w:t>”</w:t>
      </w:r>
      <w:r w:rsidR="007E4C93" w:rsidRPr="00291520">
        <w:rPr>
          <w:b/>
        </w:rPr>
        <w:t>.</w:t>
      </w:r>
    </w:p>
    <w:p w:rsidR="00291520" w:rsidRDefault="007E4C93" w:rsidP="007E4C93">
      <w:r>
        <w:t xml:space="preserve"> System pozwala wyliczyć </w:t>
      </w:r>
      <w:proofErr w:type="gramStart"/>
      <w:r>
        <w:t xml:space="preserve">odsetki </w:t>
      </w:r>
      <w:r w:rsidR="00291520">
        <w:t xml:space="preserve"> po</w:t>
      </w:r>
      <w:proofErr w:type="gramEnd"/>
      <w:r w:rsidR="00291520">
        <w:t xml:space="preserve"> zmianie stopy procentowej. Opcja przelicza odsetki wstecz.</w:t>
      </w:r>
    </w:p>
    <w:p w:rsidR="007E4C93" w:rsidRDefault="00291520" w:rsidP="007E4C93">
      <w:r>
        <w:t xml:space="preserve"> W </w:t>
      </w:r>
      <w:proofErr w:type="gramStart"/>
      <w:r>
        <w:t>przypadku gdy</w:t>
      </w:r>
      <w:proofErr w:type="gramEnd"/>
      <w:r>
        <w:t xml:space="preserve"> stopa procentowa dla odsetek zostanie zmniejszona system licząc odsetki wstecz kwalifikuje nadpłacone odsetki na kapitał zmniejszając tym samym bazę odsetkową i zmniejszając przyszłe odsetki.</w:t>
      </w:r>
    </w:p>
    <w:p w:rsidR="00291520" w:rsidRDefault="00291520" w:rsidP="007E4C93">
      <w:r>
        <w:t>Opcja po wykonaniu obliczeń pokazuje raport oraz umożliwia zapisanie wyliczonych odsetek na koncie.</w:t>
      </w:r>
    </w:p>
    <w:p w:rsidR="007E4C93" w:rsidRDefault="007E4C93" w:rsidP="007E4C93"/>
    <w:p w:rsidR="00B94CCF" w:rsidRDefault="00B94CCF" w:rsidP="004B420D">
      <w:pPr>
        <w:pStyle w:val="Akapitzlist"/>
        <w:numPr>
          <w:ilvl w:val="0"/>
          <w:numId w:val="33"/>
        </w:numPr>
      </w:pPr>
      <w:r>
        <w:t>Dodano nowy sposób wyboru produktów w nowy wniosek</w:t>
      </w:r>
    </w:p>
    <w:p w:rsidR="00B94CCF" w:rsidRDefault="00B94CCF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  <w:rPr>
          <w:noProof/>
          <w:lang w:eastAsia="pl-PL"/>
        </w:rPr>
      </w:pPr>
      <w:r>
        <w:rPr>
          <w:noProof/>
          <w:lang w:eastAsia="pl-PL"/>
        </w:rPr>
        <w:t>W związku z coraz większą ilością produktów jakimi posługują się fundusz w systemie udostępniono opcje ułatwiającą wybranie odpowiedniego produktu dla klienta</w:t>
      </w:r>
    </w:p>
    <w:p w:rsidR="00B94CCF" w:rsidRDefault="00B94CCF" w:rsidP="00B94CCF">
      <w:pPr>
        <w:pStyle w:val="Akapitzlist"/>
        <w:ind w:left="502"/>
        <w:rPr>
          <w:noProof/>
          <w:lang w:eastAsia="pl-PL"/>
        </w:rPr>
      </w:pPr>
    </w:p>
    <w:p w:rsidR="00B94CCF" w:rsidRDefault="00B94CCF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21050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CF" w:rsidRDefault="00B94CCF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</w:pPr>
      <w:r>
        <w:t xml:space="preserve">Wybór produktu następuje w 6 krokach po wybraniu prawidłowo produktu i określeniu jego wszystkich cech system pozwala na zaakceptowanie produktu (włącza </w:t>
      </w:r>
      <w:proofErr w:type="gramStart"/>
      <w:r>
        <w:t>klawisz</w:t>
      </w:r>
      <w:proofErr w:type="gramEnd"/>
      <w:r>
        <w:t xml:space="preserve"> Akceptacja)</w:t>
      </w:r>
    </w:p>
    <w:p w:rsidR="00B94CCF" w:rsidRDefault="00B94CCF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</w:pPr>
      <w:r>
        <w:t>Krok 1</w:t>
      </w:r>
    </w:p>
    <w:p w:rsidR="00B94CCF" w:rsidRDefault="00B94CCF" w:rsidP="00B94CCF">
      <w:pPr>
        <w:pStyle w:val="Akapitzlist"/>
        <w:ind w:left="502"/>
      </w:pPr>
      <w:r>
        <w:t xml:space="preserve">Operator określa pochodzenie środków z pośród dwóch </w:t>
      </w:r>
      <w:r w:rsidR="00B31982">
        <w:t>wartość</w:t>
      </w:r>
    </w:p>
    <w:p w:rsidR="00B31982" w:rsidRDefault="00B31982" w:rsidP="00B94CCF">
      <w:pPr>
        <w:pStyle w:val="Akapitzlist"/>
        <w:ind w:left="502"/>
      </w:pPr>
      <w:r>
        <w:t>Środki własne</w:t>
      </w:r>
    </w:p>
    <w:p w:rsidR="00B31982" w:rsidRDefault="00B31982" w:rsidP="00B94CCF">
      <w:pPr>
        <w:pStyle w:val="Akapitzlist"/>
        <w:ind w:left="502"/>
      </w:pPr>
      <w:r>
        <w:t>Środki z projektów specjalnych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  <w:proofErr w:type="gramStart"/>
      <w:r>
        <w:t>Oznaczenie z jakich</w:t>
      </w:r>
      <w:proofErr w:type="gramEnd"/>
      <w:r>
        <w:t xml:space="preserve"> projektów pochodzą środki określa się w danych produktu opcja Baza-&gt;słowniki-&gt;Produkty druga zakładka</w:t>
      </w:r>
      <w:r w:rsidR="00060A60">
        <w:t xml:space="preserve"> pole Pochodzenie środków </w:t>
      </w:r>
      <w:r w:rsidR="00060A60" w:rsidRPr="00060A60">
        <w:rPr>
          <w:b/>
          <w:color w:val="FF0000"/>
        </w:rPr>
        <w:t>(A)</w:t>
      </w:r>
    </w:p>
    <w:p w:rsidR="00B31982" w:rsidRDefault="00B31982" w:rsidP="00B94CCF">
      <w:pPr>
        <w:pStyle w:val="Akapitzlist"/>
        <w:ind w:left="502"/>
      </w:pPr>
    </w:p>
    <w:p w:rsidR="00B31982" w:rsidRDefault="00060A60" w:rsidP="00B94CCF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62625" cy="2876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  <w:r>
        <w:t>Krok 2</w:t>
      </w:r>
    </w:p>
    <w:p w:rsidR="00B31982" w:rsidRDefault="00B31982" w:rsidP="00B94CCF">
      <w:pPr>
        <w:pStyle w:val="Akapitzlist"/>
        <w:ind w:left="502"/>
      </w:pPr>
      <w:r>
        <w:t>Skąd pozyskano klienta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  <w:r>
        <w:t>Dostępny wybór</w:t>
      </w:r>
    </w:p>
    <w:p w:rsidR="00B31982" w:rsidRDefault="00B31982" w:rsidP="00B94CCF">
      <w:pPr>
        <w:pStyle w:val="Akapitzlist"/>
        <w:ind w:left="502"/>
      </w:pPr>
      <w:proofErr w:type="spellStart"/>
      <w:r>
        <w:t>Hunting</w:t>
      </w:r>
      <w:proofErr w:type="spellEnd"/>
      <w:r>
        <w:t xml:space="preserve"> (pozyskano nowego klienta)</w:t>
      </w:r>
    </w:p>
    <w:p w:rsidR="00B31982" w:rsidRDefault="00B31982" w:rsidP="00B94CCF">
      <w:pPr>
        <w:pStyle w:val="Akapitzlist"/>
        <w:ind w:left="502"/>
      </w:pPr>
      <w:proofErr w:type="spellStart"/>
      <w:r>
        <w:lastRenderedPageBreak/>
        <w:t>Farming</w:t>
      </w:r>
      <w:proofErr w:type="spellEnd"/>
      <w:r>
        <w:t xml:space="preserve"> (klient wraca w wyniku akcji marketingowej)</w:t>
      </w:r>
    </w:p>
    <w:p w:rsidR="00B31982" w:rsidRDefault="00B31982" w:rsidP="00B94CCF">
      <w:pPr>
        <w:pStyle w:val="Akapitzlist"/>
        <w:ind w:left="502"/>
      </w:pPr>
      <w:r>
        <w:t>Stały klient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060A60" w:rsidRDefault="00060A60" w:rsidP="00060A60">
      <w:pPr>
        <w:pStyle w:val="Akapitzlist"/>
        <w:ind w:left="502"/>
      </w:pPr>
      <w:r>
        <w:t xml:space="preserve">Oznaczenie z jakich projektów pochodzą środki określa się w danych produktu opcja Baza-&gt;słowniki-&gt;Produkty druga zakładka pola </w:t>
      </w:r>
      <w:proofErr w:type="spellStart"/>
      <w:r>
        <w:t>Hunting,Farming,Stały</w:t>
      </w:r>
      <w:proofErr w:type="spellEnd"/>
      <w:r>
        <w:t xml:space="preserve"> klient na </w:t>
      </w:r>
      <w:proofErr w:type="gramStart"/>
      <w:r>
        <w:t>ekranie  zaznaczone</w:t>
      </w:r>
      <w:proofErr w:type="gramEnd"/>
      <w:r>
        <w:t xml:space="preserve"> jako  </w:t>
      </w:r>
      <w:r w:rsidRPr="00060A60">
        <w:rPr>
          <w:b/>
          <w:color w:val="FF0000"/>
        </w:rPr>
        <w:t>(</w:t>
      </w:r>
      <w:r>
        <w:rPr>
          <w:b/>
          <w:color w:val="FF0000"/>
        </w:rPr>
        <w:t>B</w:t>
      </w:r>
      <w:r w:rsidRPr="00060A60">
        <w:rPr>
          <w:b/>
          <w:color w:val="FF0000"/>
        </w:rPr>
        <w:t>)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  <w:r>
        <w:t xml:space="preserve">Krok 3 </w:t>
      </w:r>
    </w:p>
    <w:p w:rsidR="00B31982" w:rsidRDefault="00B31982" w:rsidP="00B94CCF">
      <w:pPr>
        <w:pStyle w:val="Akapitzlist"/>
        <w:ind w:left="502"/>
      </w:pPr>
      <w:r>
        <w:t>Operator wybiera produkt spośród określonych w dwóch poprzednich krokach (spełniający dwa poprzednie kryteria)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  <w:r>
        <w:t>Krok 4</w:t>
      </w:r>
    </w:p>
    <w:p w:rsidR="00B31982" w:rsidRDefault="00B31982" w:rsidP="00B94CCF">
      <w:pPr>
        <w:pStyle w:val="Akapitzlist"/>
        <w:ind w:left="502"/>
      </w:pPr>
      <w:r>
        <w:t xml:space="preserve">Operator wybiera promocje w </w:t>
      </w:r>
      <w:proofErr w:type="gramStart"/>
      <w:r>
        <w:t>ramach której</w:t>
      </w:r>
      <w:proofErr w:type="gramEnd"/>
      <w:r>
        <w:t xml:space="preserve"> udzielana jest pożyczka dostępne wartości</w:t>
      </w:r>
      <w:r w:rsidR="00060A60">
        <w:t>.</w:t>
      </w:r>
    </w:p>
    <w:p w:rsidR="00060A60" w:rsidRDefault="00060A60" w:rsidP="00B94CCF">
      <w:pPr>
        <w:pStyle w:val="Akapitzlist"/>
        <w:ind w:left="502"/>
      </w:pPr>
      <w:r>
        <w:t xml:space="preserve">Czy w ramach produktu jest dostępna promocja określa parametr </w:t>
      </w:r>
      <w:proofErr w:type="gramStart"/>
      <w:r>
        <w:t xml:space="preserve">produktu </w:t>
      </w:r>
      <w:proofErr w:type="gramEnd"/>
    </w:p>
    <w:p w:rsidR="00060A60" w:rsidRDefault="00060A60" w:rsidP="00060A60">
      <w:pPr>
        <w:pStyle w:val="Akapitzlist"/>
        <w:ind w:left="502"/>
      </w:pPr>
      <w:r>
        <w:t xml:space="preserve">Promocja </w:t>
      </w:r>
      <w:proofErr w:type="gramStart"/>
      <w:r>
        <w:t>dostępna  na</w:t>
      </w:r>
      <w:proofErr w:type="gramEnd"/>
      <w:r>
        <w:t xml:space="preserve"> ekranie definiującym produkt  zaznaczone jako  </w:t>
      </w:r>
      <w:r w:rsidRPr="00060A60">
        <w:rPr>
          <w:b/>
          <w:color w:val="FF0000"/>
        </w:rPr>
        <w:t>(</w:t>
      </w:r>
      <w:r>
        <w:rPr>
          <w:b/>
          <w:color w:val="FF0000"/>
        </w:rPr>
        <w:t>C</w:t>
      </w:r>
      <w:r w:rsidRPr="00060A60">
        <w:rPr>
          <w:b/>
          <w:color w:val="FF0000"/>
        </w:rPr>
        <w:t>)</w:t>
      </w:r>
    </w:p>
    <w:p w:rsidR="00060A60" w:rsidRDefault="00060A60" w:rsidP="00B94CCF">
      <w:pPr>
        <w:pStyle w:val="Akapitzlist"/>
        <w:ind w:left="502"/>
      </w:pPr>
    </w:p>
    <w:p w:rsidR="00060A60" w:rsidRDefault="00060A60" w:rsidP="00B94CCF">
      <w:pPr>
        <w:pStyle w:val="Akapitzlist"/>
        <w:ind w:left="502"/>
      </w:pPr>
      <w:r>
        <w:t xml:space="preserve">W </w:t>
      </w:r>
      <w:proofErr w:type="gramStart"/>
      <w:r>
        <w:t>przypadku gdy</w:t>
      </w:r>
      <w:proofErr w:type="gramEnd"/>
      <w:r>
        <w:t xml:space="preserve"> są dostępne promocje operator może wybrać spośród wartości</w:t>
      </w:r>
    </w:p>
    <w:p w:rsidR="00B31982" w:rsidRDefault="00B31982" w:rsidP="00B94CCF">
      <w:pPr>
        <w:pStyle w:val="Akapitzlist"/>
        <w:ind w:left="502"/>
      </w:pPr>
      <w:r>
        <w:t>Brak promocji</w:t>
      </w:r>
    </w:p>
    <w:p w:rsidR="00060A60" w:rsidRDefault="00060A60" w:rsidP="00B94CCF">
      <w:pPr>
        <w:pStyle w:val="Akapitzlist"/>
        <w:ind w:left="502"/>
      </w:pPr>
      <w:r>
        <w:t>Konsolidacja</w:t>
      </w:r>
    </w:p>
    <w:p w:rsidR="00060A60" w:rsidRDefault="00060A60" w:rsidP="00B94CCF">
      <w:pPr>
        <w:pStyle w:val="Akapitzlist"/>
        <w:ind w:left="502"/>
      </w:pPr>
      <w:proofErr w:type="spellStart"/>
      <w:r>
        <w:t>Farming</w:t>
      </w:r>
      <w:proofErr w:type="spellEnd"/>
      <w:r>
        <w:t xml:space="preserve"> na aktywnych</w:t>
      </w:r>
    </w:p>
    <w:p w:rsidR="00060A60" w:rsidRDefault="00060A60" w:rsidP="00B94CCF">
      <w:pPr>
        <w:pStyle w:val="Akapitzlist"/>
        <w:ind w:left="502"/>
      </w:pPr>
      <w:proofErr w:type="spellStart"/>
      <w:r>
        <w:t>Preakceptacja</w:t>
      </w:r>
      <w:proofErr w:type="spellEnd"/>
    </w:p>
    <w:p w:rsidR="00060A60" w:rsidRDefault="00060A60" w:rsidP="00B94CCF">
      <w:pPr>
        <w:pStyle w:val="Akapitzlist"/>
        <w:ind w:left="502"/>
      </w:pPr>
    </w:p>
    <w:p w:rsidR="00060A60" w:rsidRDefault="00060A60" w:rsidP="00B94CCF">
      <w:pPr>
        <w:pStyle w:val="Akapitzlist"/>
        <w:ind w:left="502"/>
      </w:pPr>
      <w:r>
        <w:t>W przypadku wybrania konsolidacja system żąda podania numeru pożyczki konsolidacyjnej 6</w:t>
      </w:r>
    </w:p>
    <w:p w:rsidR="00060A60" w:rsidRDefault="00060A60" w:rsidP="00B94CCF">
      <w:pPr>
        <w:pStyle w:val="Akapitzlist"/>
        <w:ind w:left="502"/>
      </w:pPr>
    </w:p>
    <w:p w:rsidR="00060A60" w:rsidRDefault="00060A60" w:rsidP="00B94CCF">
      <w:pPr>
        <w:pStyle w:val="Akapitzlist"/>
        <w:ind w:left="502"/>
      </w:pPr>
      <w:r>
        <w:t>Dostępne promocje definiujemy w</w:t>
      </w:r>
      <w:r w:rsidR="005C23BB">
        <w:t xml:space="preserve"> opcji „Baza-&gt;Słowniki-&gt;Promocje</w:t>
      </w:r>
      <w:r>
        <w:t>”</w:t>
      </w: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31982" w:rsidRDefault="00B31982" w:rsidP="00B94CCF">
      <w:pPr>
        <w:pStyle w:val="Akapitzlist"/>
        <w:ind w:left="502"/>
      </w:pPr>
    </w:p>
    <w:p w:rsidR="00B94CCF" w:rsidRDefault="00B94CCF" w:rsidP="00B94CCF">
      <w:pPr>
        <w:pStyle w:val="Akapitzlist"/>
        <w:ind w:left="502"/>
      </w:pPr>
    </w:p>
    <w:p w:rsidR="004D666A" w:rsidRDefault="004D666A" w:rsidP="004B420D">
      <w:pPr>
        <w:pStyle w:val="Akapitzlist"/>
        <w:numPr>
          <w:ilvl w:val="0"/>
          <w:numId w:val="33"/>
        </w:numPr>
      </w:pPr>
      <w:r>
        <w:t>Uwaga rozszerzono ekran umowy info o pole Numer w systemie FK, jeżeli dana ta nie jest potrzebna należy ją wyłącz</w:t>
      </w:r>
      <w:r w:rsidR="00407328">
        <w:t>yć w opcji Baza-&gt;Konfiguracja -&gt;</w:t>
      </w:r>
      <w:proofErr w:type="gramStart"/>
      <w:r w:rsidR="00407328">
        <w:t>Systemu  (Wygląd</w:t>
      </w:r>
      <w:proofErr w:type="gramEnd"/>
      <w:r w:rsidR="00407328">
        <w:t xml:space="preserve"> ekranu umowy info)</w:t>
      </w:r>
    </w:p>
    <w:p w:rsidR="00407328" w:rsidRDefault="00407328" w:rsidP="00407328">
      <w:pPr>
        <w:pStyle w:val="Akapitzlist"/>
        <w:ind w:left="502"/>
      </w:pPr>
    </w:p>
    <w:p w:rsidR="00407328" w:rsidRDefault="00407328" w:rsidP="00407328">
      <w:pPr>
        <w:pStyle w:val="Akapitzlist"/>
        <w:ind w:left="502"/>
      </w:pPr>
      <w:r>
        <w:rPr>
          <w:noProof/>
          <w:lang w:eastAsia="pl-PL"/>
        </w:rPr>
        <w:lastRenderedPageBreak/>
        <w:drawing>
          <wp:inline distT="0" distB="0" distL="0" distR="0" wp14:anchorId="7E2756EE" wp14:editId="7392FAF2">
            <wp:extent cx="5760720" cy="27443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66A" w:rsidRDefault="004D666A" w:rsidP="004D666A">
      <w:pPr>
        <w:pStyle w:val="Akapitzlist"/>
        <w:ind w:left="502"/>
      </w:pPr>
    </w:p>
    <w:p w:rsidR="007D79F2" w:rsidRDefault="007D79F2" w:rsidP="004B420D">
      <w:pPr>
        <w:pStyle w:val="Akapitzlist"/>
        <w:numPr>
          <w:ilvl w:val="0"/>
          <w:numId w:val="33"/>
        </w:numPr>
      </w:pPr>
      <w:r>
        <w:t>W programie wprowadzono parametr w konfiguracji "Windykacja -&gt; Co zrobić z obsługą w domu"</w:t>
      </w:r>
      <w:r>
        <w:br/>
        <w:t>umożliwiający zdefiniowanie gdzie przeniesiona zostanie "Obsługi w domu zaległa" i "Obsługi w domu terminowa"</w:t>
      </w:r>
      <w:r>
        <w:br/>
        <w:t>w momencie uruchomienia "Windykacji".</w:t>
      </w:r>
      <w:r>
        <w:br/>
      </w:r>
      <w:r>
        <w:br/>
        <w:t xml:space="preserve">Dostępne są dwa parametry </w:t>
      </w:r>
      <w:r>
        <w:br/>
        <w:t>1. Przeniesienie na obsługę w domu zaległą</w:t>
      </w:r>
      <w:r>
        <w:br/>
        <w:t>2. Przeniesienie na prowizje w sądzie</w:t>
      </w:r>
      <w:r>
        <w:br/>
      </w:r>
      <w:r>
        <w:br/>
      </w:r>
      <w:r>
        <w:rPr>
          <w:noProof/>
          <w:lang w:eastAsia="pl-PL"/>
        </w:rPr>
        <w:drawing>
          <wp:inline distT="0" distB="0" distL="0" distR="0">
            <wp:extent cx="5753100" cy="2933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F2" w:rsidRDefault="007D79F2" w:rsidP="007D79F2"/>
    <w:p w:rsidR="007D79F2" w:rsidRDefault="007D79F2" w:rsidP="007D79F2"/>
    <w:p w:rsidR="007D79F2" w:rsidRPr="007D79F2" w:rsidRDefault="007D79F2" w:rsidP="007D79F2">
      <w:pPr>
        <w:rPr>
          <w:b/>
        </w:rPr>
      </w:pPr>
      <w:bookmarkStart w:id="0" w:name="_GoBack"/>
      <w:r w:rsidRPr="007D79F2">
        <w:rPr>
          <w:b/>
          <w:color w:val="FF0000"/>
        </w:rPr>
        <w:lastRenderedPageBreak/>
        <w:t>DOMYŚLNIE SYSTEM JEST USTAWIONY NA „PRZENIEŚĆ NA OBSŁUGĘ W DOMU ZALEGŁĄ”</w:t>
      </w:r>
      <w:bookmarkEnd w:id="0"/>
      <w:r w:rsidRPr="007D79F2">
        <w:rPr>
          <w:b/>
        </w:rPr>
        <w:br/>
      </w:r>
      <w:r w:rsidRPr="007D79F2">
        <w:rPr>
          <w:b/>
        </w:rPr>
        <w:br/>
      </w:r>
    </w:p>
    <w:p w:rsidR="006350E3" w:rsidRDefault="006350E3" w:rsidP="004B420D">
      <w:pPr>
        <w:pStyle w:val="Akapitzlist"/>
        <w:numPr>
          <w:ilvl w:val="0"/>
          <w:numId w:val="33"/>
        </w:numPr>
      </w:pPr>
      <w:r>
        <w:t>Dodano możliwość filtrowania faktur po pochodzeniu (Odsetki umowne, odsetki karne, obsługa w domu, prowizja)</w:t>
      </w:r>
    </w:p>
    <w:p w:rsidR="006350E3" w:rsidRDefault="006350E3" w:rsidP="006350E3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5762625" cy="17907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E3" w:rsidRDefault="006350E3" w:rsidP="006350E3">
      <w:pPr>
        <w:pStyle w:val="Akapitzlist"/>
        <w:ind w:left="502"/>
      </w:pPr>
    </w:p>
    <w:p w:rsidR="007D79F2" w:rsidRDefault="007D79F2" w:rsidP="006350E3">
      <w:pPr>
        <w:pStyle w:val="Akapitzlist"/>
        <w:ind w:left="502"/>
      </w:pPr>
    </w:p>
    <w:p w:rsidR="007D79F2" w:rsidRDefault="007D79F2" w:rsidP="006350E3">
      <w:pPr>
        <w:pStyle w:val="Akapitzlist"/>
        <w:ind w:left="502"/>
      </w:pP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4B1AA1" w:rsidRDefault="004B1AA1" w:rsidP="004B1AA1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4B1AA1" w:rsidRDefault="004B1AA1" w:rsidP="004B1AA1">
      <w:pPr>
        <w:pStyle w:val="Akapitzlist"/>
      </w:pPr>
      <w:r>
        <w:t>3.</w:t>
      </w:r>
      <w:r>
        <w:tab/>
        <w:t>Wykonać instalacje bazy danych opcja Baza-&gt;Instalacja wersji</w:t>
      </w:r>
    </w:p>
    <w:p w:rsidR="004B1AA1" w:rsidRDefault="004B1AA1" w:rsidP="004B1AA1">
      <w:pPr>
        <w:pStyle w:val="Akapitzlist"/>
      </w:pPr>
    </w:p>
    <w:p w:rsidR="004B1AA1" w:rsidRDefault="004B1AA1" w:rsidP="004B1AA1">
      <w:pPr>
        <w:pStyle w:val="Akapitzlist"/>
      </w:pPr>
    </w:p>
    <w:p w:rsidR="004B1AA1" w:rsidRPr="00385235" w:rsidRDefault="004B1AA1" w:rsidP="003767D9">
      <w:pPr>
        <w:pStyle w:val="Akapitzlist"/>
      </w:pPr>
    </w:p>
    <w:sectPr w:rsidR="004B1AA1" w:rsidRPr="0038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D3" w:rsidRDefault="00AC62D3" w:rsidP="004825D0">
      <w:pPr>
        <w:spacing w:after="0" w:line="240" w:lineRule="auto"/>
      </w:pPr>
      <w:r>
        <w:separator/>
      </w:r>
    </w:p>
  </w:endnote>
  <w:endnote w:type="continuationSeparator" w:id="0">
    <w:p w:rsidR="00AC62D3" w:rsidRDefault="00AC62D3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D3" w:rsidRDefault="00AC62D3" w:rsidP="004825D0">
      <w:pPr>
        <w:spacing w:after="0" w:line="240" w:lineRule="auto"/>
      </w:pPr>
      <w:r>
        <w:separator/>
      </w:r>
    </w:p>
  </w:footnote>
  <w:footnote w:type="continuationSeparator" w:id="0">
    <w:p w:rsidR="00AC62D3" w:rsidRDefault="00AC62D3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8264622"/>
    <w:multiLevelType w:val="hybridMultilevel"/>
    <w:tmpl w:val="0BEE26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105B1"/>
    <w:multiLevelType w:val="hybridMultilevel"/>
    <w:tmpl w:val="0824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10D5A"/>
    <w:multiLevelType w:val="hybridMultilevel"/>
    <w:tmpl w:val="933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34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20"/>
  </w:num>
  <w:num w:numId="5">
    <w:abstractNumId w:val="26"/>
  </w:num>
  <w:num w:numId="6">
    <w:abstractNumId w:val="8"/>
  </w:num>
  <w:num w:numId="7">
    <w:abstractNumId w:val="30"/>
  </w:num>
  <w:num w:numId="8">
    <w:abstractNumId w:val="13"/>
  </w:num>
  <w:num w:numId="9">
    <w:abstractNumId w:val="3"/>
  </w:num>
  <w:num w:numId="10">
    <w:abstractNumId w:val="11"/>
  </w:num>
  <w:num w:numId="11">
    <w:abstractNumId w:val="35"/>
  </w:num>
  <w:num w:numId="12">
    <w:abstractNumId w:val="31"/>
  </w:num>
  <w:num w:numId="13">
    <w:abstractNumId w:val="23"/>
  </w:num>
  <w:num w:numId="14">
    <w:abstractNumId w:val="6"/>
  </w:num>
  <w:num w:numId="15">
    <w:abstractNumId w:val="16"/>
  </w:num>
  <w:num w:numId="16">
    <w:abstractNumId w:val="27"/>
  </w:num>
  <w:num w:numId="17">
    <w:abstractNumId w:val="4"/>
  </w:num>
  <w:num w:numId="18">
    <w:abstractNumId w:val="18"/>
  </w:num>
  <w:num w:numId="19">
    <w:abstractNumId w:val="28"/>
  </w:num>
  <w:num w:numId="20">
    <w:abstractNumId w:val="14"/>
  </w:num>
  <w:num w:numId="21">
    <w:abstractNumId w:val="34"/>
  </w:num>
  <w:num w:numId="22">
    <w:abstractNumId w:val="10"/>
  </w:num>
  <w:num w:numId="23">
    <w:abstractNumId w:val="19"/>
  </w:num>
  <w:num w:numId="24">
    <w:abstractNumId w:val="1"/>
  </w:num>
  <w:num w:numId="25">
    <w:abstractNumId w:val="2"/>
  </w:num>
  <w:num w:numId="26">
    <w:abstractNumId w:val="24"/>
  </w:num>
  <w:num w:numId="27">
    <w:abstractNumId w:val="32"/>
  </w:num>
  <w:num w:numId="28">
    <w:abstractNumId w:val="12"/>
  </w:num>
  <w:num w:numId="29">
    <w:abstractNumId w:val="5"/>
  </w:num>
  <w:num w:numId="30">
    <w:abstractNumId w:val="0"/>
  </w:num>
  <w:num w:numId="31">
    <w:abstractNumId w:val="17"/>
  </w:num>
  <w:num w:numId="32">
    <w:abstractNumId w:val="29"/>
  </w:num>
  <w:num w:numId="33">
    <w:abstractNumId w:val="15"/>
  </w:num>
  <w:num w:numId="34">
    <w:abstractNumId w:val="25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21675"/>
    <w:rsid w:val="00030BB8"/>
    <w:rsid w:val="00037565"/>
    <w:rsid w:val="00060A60"/>
    <w:rsid w:val="000B231B"/>
    <w:rsid w:val="000C586C"/>
    <w:rsid w:val="000D112E"/>
    <w:rsid w:val="000F1714"/>
    <w:rsid w:val="00110799"/>
    <w:rsid w:val="00166866"/>
    <w:rsid w:val="00180CD0"/>
    <w:rsid w:val="00186705"/>
    <w:rsid w:val="001873AC"/>
    <w:rsid w:val="001D5B6B"/>
    <w:rsid w:val="00202208"/>
    <w:rsid w:val="002145F7"/>
    <w:rsid w:val="0022452C"/>
    <w:rsid w:val="00245292"/>
    <w:rsid w:val="00270933"/>
    <w:rsid w:val="0029123F"/>
    <w:rsid w:val="00291520"/>
    <w:rsid w:val="00296013"/>
    <w:rsid w:val="002A5FDC"/>
    <w:rsid w:val="002C04CA"/>
    <w:rsid w:val="002C6DAF"/>
    <w:rsid w:val="0037394F"/>
    <w:rsid w:val="003767D9"/>
    <w:rsid w:val="00385235"/>
    <w:rsid w:val="00385793"/>
    <w:rsid w:val="00396D86"/>
    <w:rsid w:val="003B04E7"/>
    <w:rsid w:val="003D09E4"/>
    <w:rsid w:val="00407328"/>
    <w:rsid w:val="00417284"/>
    <w:rsid w:val="00440253"/>
    <w:rsid w:val="00465FF8"/>
    <w:rsid w:val="004825D0"/>
    <w:rsid w:val="00497F62"/>
    <w:rsid w:val="004A2E8F"/>
    <w:rsid w:val="004B1AA1"/>
    <w:rsid w:val="004B420D"/>
    <w:rsid w:val="004C7B96"/>
    <w:rsid w:val="004C7F47"/>
    <w:rsid w:val="004D666A"/>
    <w:rsid w:val="004E0266"/>
    <w:rsid w:val="0050331E"/>
    <w:rsid w:val="00511268"/>
    <w:rsid w:val="005146F6"/>
    <w:rsid w:val="00536975"/>
    <w:rsid w:val="00591723"/>
    <w:rsid w:val="0059179F"/>
    <w:rsid w:val="00596406"/>
    <w:rsid w:val="005B2A20"/>
    <w:rsid w:val="005B4EBB"/>
    <w:rsid w:val="005C23BB"/>
    <w:rsid w:val="005C6E14"/>
    <w:rsid w:val="00603FA6"/>
    <w:rsid w:val="00610923"/>
    <w:rsid w:val="006350E3"/>
    <w:rsid w:val="0064755F"/>
    <w:rsid w:val="0067482B"/>
    <w:rsid w:val="006B0C10"/>
    <w:rsid w:val="006B353D"/>
    <w:rsid w:val="006D41A5"/>
    <w:rsid w:val="006D6662"/>
    <w:rsid w:val="006E3123"/>
    <w:rsid w:val="006E7416"/>
    <w:rsid w:val="00706F70"/>
    <w:rsid w:val="007356A8"/>
    <w:rsid w:val="00752CE5"/>
    <w:rsid w:val="00780D6D"/>
    <w:rsid w:val="007836A8"/>
    <w:rsid w:val="00792018"/>
    <w:rsid w:val="007D79F2"/>
    <w:rsid w:val="007E4C93"/>
    <w:rsid w:val="00822413"/>
    <w:rsid w:val="0084555C"/>
    <w:rsid w:val="00862CC2"/>
    <w:rsid w:val="00870CFA"/>
    <w:rsid w:val="008D739F"/>
    <w:rsid w:val="008E3C21"/>
    <w:rsid w:val="008F3611"/>
    <w:rsid w:val="00967AEA"/>
    <w:rsid w:val="00984AFE"/>
    <w:rsid w:val="009B4B03"/>
    <w:rsid w:val="00A57056"/>
    <w:rsid w:val="00A6168B"/>
    <w:rsid w:val="00A664D1"/>
    <w:rsid w:val="00A66ED5"/>
    <w:rsid w:val="00A85671"/>
    <w:rsid w:val="00AB4917"/>
    <w:rsid w:val="00AC62D3"/>
    <w:rsid w:val="00AC6E03"/>
    <w:rsid w:val="00AD76C2"/>
    <w:rsid w:val="00B0274D"/>
    <w:rsid w:val="00B11146"/>
    <w:rsid w:val="00B23A05"/>
    <w:rsid w:val="00B274FC"/>
    <w:rsid w:val="00B31982"/>
    <w:rsid w:val="00B34490"/>
    <w:rsid w:val="00B438FC"/>
    <w:rsid w:val="00B50919"/>
    <w:rsid w:val="00B535DD"/>
    <w:rsid w:val="00B56D8D"/>
    <w:rsid w:val="00B71065"/>
    <w:rsid w:val="00B82A6F"/>
    <w:rsid w:val="00B94CCF"/>
    <w:rsid w:val="00BA0D8F"/>
    <w:rsid w:val="00BA5A2B"/>
    <w:rsid w:val="00BB5D53"/>
    <w:rsid w:val="00BE4DF9"/>
    <w:rsid w:val="00C11288"/>
    <w:rsid w:val="00C256B7"/>
    <w:rsid w:val="00C54801"/>
    <w:rsid w:val="00C71312"/>
    <w:rsid w:val="00C8497B"/>
    <w:rsid w:val="00CB62AB"/>
    <w:rsid w:val="00CD0094"/>
    <w:rsid w:val="00CD0BBB"/>
    <w:rsid w:val="00CD3054"/>
    <w:rsid w:val="00D8200B"/>
    <w:rsid w:val="00D8415F"/>
    <w:rsid w:val="00D92604"/>
    <w:rsid w:val="00DD55E1"/>
    <w:rsid w:val="00DD6C95"/>
    <w:rsid w:val="00DE7CD9"/>
    <w:rsid w:val="00E36A02"/>
    <w:rsid w:val="00E64654"/>
    <w:rsid w:val="00E67C72"/>
    <w:rsid w:val="00EC3A5B"/>
    <w:rsid w:val="00ED13AC"/>
    <w:rsid w:val="00F242DC"/>
    <w:rsid w:val="00F51084"/>
    <w:rsid w:val="00FB25FB"/>
    <w:rsid w:val="00FC4E19"/>
    <w:rsid w:val="00FF0F3B"/>
    <w:rsid w:val="00FF2F56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03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6</cp:revision>
  <dcterms:created xsi:type="dcterms:W3CDTF">2013-11-20T10:33:00Z</dcterms:created>
  <dcterms:modified xsi:type="dcterms:W3CDTF">2013-11-26T10:18:00Z</dcterms:modified>
</cp:coreProperties>
</file>